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sz w:val="28"/>
          <w:szCs w:val="28"/>
        </w:rPr>
      </w:r>
      <w:r/>
    </w:p>
    <w:p>
      <w:pPr>
        <w:jc w:val="center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sz w:val="28"/>
          <w:szCs w:val="28"/>
        </w:rPr>
      </w:r>
      <w:r/>
    </w:p>
    <w:p>
      <w:pPr>
        <w:jc w:val="center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/>
    </w:p>
    <w:p>
      <w:pPr>
        <w:jc w:val="center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720" w:right="720"/>
        <w:jc w:val="center"/>
        <w:spacing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изменения </w:t>
      </w:r>
      <w:r>
        <w:rPr>
          <w:rFonts w:ascii="PT Astra Serif" w:hAnsi="PT Astra Serif" w:cs="PT Astra Serif"/>
          <w:b/>
          <w:sz w:val="28"/>
          <w:szCs w:val="28"/>
        </w:rPr>
        <w:t xml:space="preserve">в статью 87-3 закона Алтайского края </w:t>
      </w:r>
      <w:r>
        <w:rPr>
          <w:rFonts w:ascii="PT Astra Serif" w:hAnsi="PT Astra Serif" w:cs="PT Astra Serif"/>
          <w:b/>
          <w:sz w:val="28"/>
          <w:szCs w:val="28"/>
        </w:rPr>
        <w:br/>
        <w:t xml:space="preserve">«</w:t>
      </w:r>
      <w:r>
        <w:rPr>
          <w:rFonts w:ascii="PT Astra Serif" w:hAnsi="PT Astra Serif" w:cs="PT Astra Serif"/>
          <w:b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</w:t>
      </w:r>
      <w:r>
        <w:rPr>
          <w:rFonts w:ascii="PT Astra Serif" w:hAnsi="PT Astra Serif" w:cs="PT Astra Serif"/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widowControl w:val="off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Статья 1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Внести в статью 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87-3 закона Алтайского края от 10 июля 2002 года </w:t>
        <w:br/>
        <w:t xml:space="preserve">№ 46-ЗС 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«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Об административной ответственности за совершение правонарушений на территории Алтайского края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» (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С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бо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рник законодательства Алтайского края, 2002, № 75, часть I; 2003, № 86, № 92, часть I; 2005, № 116,часть I; 2006, № 120, часть I, № 121, часть I, № 122, часть I, № 125, часть I, № 126,часть I; 2007, № 133, часть I, № 135, часть I, № 140, часть I; 2009,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 № 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1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5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5, часть I, № 164, часть I; 2010, № 171, часть I; 2011, № 181, часть I, № 183, часть I; </w:t>
        <w:br/>
        <w:t xml:space="preserve">2012, № 193, часть I, № 200, часть I; 2013, № 209, часть I, № 211, часть I, </w:t>
        <w:br/>
        <w:t xml:space="preserve">№ 212, часть I; 2014, № 214, часть I, № 216, часть I, № 218, часть I; </w:t>
        <w:br/>
        <w:t xml:space="preserve">2015, № 229, часть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 I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, №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 236, часть I; Официальный интернет-портал правовой информации (www.pravo.gov.ru), 6 мая 2016 года, 3 февраля 2017 года, 4 мая 2017 года, 27 декабря 2017 года, 4 мая 2018 года, 7 июня 2018 года, 9 июля </w:t>
        <w:br/>
        <w:t xml:space="preserve">2018 года, 5 октября 2018 года, 7 марта 2019 года,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 2 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и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t xml:space="preserve">юля 2019 года, 6 сентября 2019 года, 8 октября 2019 года, 12 ноября 2019 года, 4 декабря 2019 года, </w:t>
        <w:br/>
        <w:t xml:space="preserve">11 февраля 2020 года, 10 марта 2020 года, 5 июня 2020 года, 7 декабря 2020 года, 24 июня 2021 года, 8 сентября 2021 года, 2 декабря 2021 года, 6 октября </w:t>
      </w: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  <w:br/>
        <w:t xml:space="preserve">2022 года</w:t>
      </w:r>
      <w:r>
        <w:rPr>
          <w:rFonts w:ascii="PT Astra Serif" w:hAnsi="PT Astra Serif" w:cs="PT Astra Serif"/>
          <w:color w:val="auto"/>
          <w:sz w:val="28"/>
          <w:szCs w:val="28"/>
          <w:highlight w:val="none"/>
        </w:rPr>
        <w:t xml:space="preserve">, 12 сентября 2023 года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) изменение, изложив ее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в следующей редакции:</w:t>
      </w:r>
      <w:r>
        <w:rPr>
          <w:sz w:val="28"/>
          <w:szCs w:val="28"/>
        </w:rPr>
      </w:r>
      <w:r/>
    </w:p>
    <w:tbl>
      <w:tblPr>
        <w:tblStyle w:val="844"/>
        <w:tblW w:w="9179" w:type="dxa"/>
        <w:tblInd w:w="4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087"/>
      </w:tblGrid>
      <w:tr>
        <w:trPr/>
        <w:tc>
          <w:tcPr>
            <w:tcW w:w="2092" w:type="dxa"/>
            <w:textDirection w:val="lrTb"/>
            <w:noWrap w:val="false"/>
          </w:tcPr>
          <w:p>
            <w:pPr>
              <w:ind w:firstLine="181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PT Astra Serif" w:hAnsi="PT Astra Serif" w:cs="PT Astra Serif"/>
                <w:sz w:val="28"/>
                <w:szCs w:val="28"/>
                <w:highlight w:val="none"/>
              </w:rPr>
              <w:t xml:space="preserve">Статья 87-3.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708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Должностные лица органов местного самоуправления, уполномоченные составлять протоколы об административных правонарушениях при осуществлении муниципального жилищного контроля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89"/>
        <w:jc w:val="both"/>
        <w:spacing w:line="240" w:lineRule="auto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правонарушениях, в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п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раве составлять должностные лица, замещающие должности муниципальной службы высшей, главной, ведущей и старшей групп должностей, учреждаемые для обеспечения исполнения полномочий администрации муниципального образования и иных органов местного самоуправлен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ия муниципального образования в соответствии со статьей 1 закона Алтайского края от 7 декабря 2007 года № 134-ЗС «О муниципальной службе в Алтайском крае», уполномоченные на осуществление муниципального жилищного контроля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, при проведении проверок соблюдения юридическими лицами, индивид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уальными предпринимателями и гражданами обязательных требований, установленных в отношении муниципального жилищного фонд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cs="PT Astra Serif"/>
          <w:b/>
          <w:bCs/>
          <w:color w:val="auto"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cs="PT Astra Serif"/>
          <w:b/>
          <w:bCs/>
          <w:color w:val="auto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color w:val="auto"/>
          <w:sz w:val="28"/>
          <w:szCs w:val="28"/>
          <w:highlight w:val="white"/>
        </w:rPr>
        <w:t xml:space="preserve">Статья 2</w:t>
      </w:r>
      <w:r>
        <w:rPr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cs="PT Astra Serif"/>
          <w:color w:val="auto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auto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989"/>
        <w:jc w:val="both"/>
        <w:spacing w:line="240" w:lineRule="auto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white"/>
        </w:rPr>
        <w:t xml:space="preserve">Настоящий Закон вступает в силу со дня его официального опубликования.</w:t>
      </w:r>
      <w:r>
        <w:rPr>
          <w:rFonts w:ascii="PT Astra Serif" w:hAnsi="PT Astra Serif" w:eastAsia="PT Astra Serif" w:cs="PT Astra Serif"/>
          <w:color w:val="auto"/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</w:r>
      <w:r/>
    </w:p>
    <w:p>
      <w:pPr>
        <w:ind w:firstLine="72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ind w:firstLine="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0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5068"/>
        <w:gridCol w:w="45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8" w:type="dxa"/>
            <w:textDirection w:val="lrTb"/>
            <w:noWrap w:val="false"/>
          </w:tcPr>
          <w:p>
            <w:pPr>
              <w:pStyle w:val="989"/>
              <w:ind w:hanging="108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0" w:type="dxa"/>
            <w:textDirection w:val="lrTb"/>
            <w:noWrap w:val="false"/>
          </w:tcPr>
          <w:p>
            <w:pPr>
              <w:pStyle w:val="989"/>
              <w:ind w:right="-108"/>
              <w:jc w:val="right"/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spacing w:line="240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sz w:val="27"/>
          <w:szCs w:val="27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68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imesnewroman">
    <w:panose1 w:val="02000603000000000000"/>
  </w:font>
  <w:font w:name="timesnewromancyr">
    <w:panose1 w:val="02000603000000000000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right"/>
    </w:pPr>
    <w:fldSimple w:instr="PAGE \* MERGEFORMAT">
      <w:r>
        <w:t xml:space="preserve">1</w:t>
      </w:r>
    </w:fldSimple>
    <w:r/>
    <w:r/>
  </w:p>
  <w:p>
    <w:pPr>
      <w:pStyle w:val="838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rStyle w:val="996"/>
      </w:rPr>
      <w:framePr w:wrap="around" w:vAnchor="text" w:hAnchor="margin" w:xAlign="right" w:y="1"/>
    </w:pPr>
    <w:r>
      <w:rPr>
        <w:rStyle w:val="996"/>
      </w:rPr>
      <w:fldChar w:fldCharType="begin"/>
    </w:r>
    <w:r>
      <w:rPr>
        <w:rStyle w:val="996"/>
      </w:rPr>
      <w:instrText xml:space="preserve">PAGE  </w:instrText>
    </w:r>
    <w:r>
      <w:rPr>
        <w:rStyle w:val="996"/>
      </w:rPr>
      <w:fldChar w:fldCharType="separate"/>
    </w:r>
    <w:r>
      <w:rPr>
        <w:rStyle w:val="996"/>
      </w:rPr>
      <w:t xml:space="preserve">10</w:t>
    </w:r>
    <w:r>
      <w:rPr>
        <w:rStyle w:val="996"/>
      </w:rPr>
      <w:fldChar w:fldCharType="end"/>
    </w:r>
    <w:r>
      <w:rPr>
        <w:rStyle w:val="996"/>
      </w:rPr>
    </w:r>
    <w:r/>
  </w:p>
  <w:p>
    <w:pPr>
      <w:pStyle w:val="83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6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110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0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PT Astra Serif" w:hAnsi="PT Astra Serif" w:eastAsia="PT Astra Serif" w:cs="PT Astra Serif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7"/>
  </w:num>
  <w:num w:numId="6">
    <w:abstractNumId w:val="28"/>
  </w:num>
  <w:num w:numId="7">
    <w:abstractNumId w:val="34"/>
  </w:num>
  <w:num w:numId="8">
    <w:abstractNumId w:val="13"/>
  </w:num>
  <w:num w:numId="9">
    <w:abstractNumId w:val="16"/>
  </w:num>
  <w:num w:numId="10">
    <w:abstractNumId w:val="18"/>
  </w:num>
  <w:num w:numId="11">
    <w:abstractNumId w:val="29"/>
  </w:num>
  <w:num w:numId="12">
    <w:abstractNumId w:val="15"/>
  </w:num>
  <w:num w:numId="13">
    <w:abstractNumId w:val="35"/>
  </w:num>
  <w:num w:numId="14">
    <w:abstractNumId w:val="31"/>
  </w:num>
  <w:num w:numId="15">
    <w:abstractNumId w:val="20"/>
  </w:num>
  <w:num w:numId="16">
    <w:abstractNumId w:val="2"/>
  </w:num>
  <w:num w:numId="17">
    <w:abstractNumId w:val="21"/>
  </w:num>
  <w:num w:numId="18">
    <w:abstractNumId w:val="9"/>
  </w:num>
  <w:num w:numId="19">
    <w:abstractNumId w:val="23"/>
  </w:num>
  <w:num w:numId="20">
    <w:abstractNumId w:val="25"/>
  </w:num>
  <w:num w:numId="21">
    <w:abstractNumId w:val="0"/>
  </w:num>
  <w:num w:numId="22">
    <w:abstractNumId w:val="26"/>
  </w:num>
  <w:num w:numId="23">
    <w:abstractNumId w:val="27"/>
  </w:num>
  <w:num w:numId="24">
    <w:abstractNumId w:val="32"/>
  </w:num>
  <w:num w:numId="25">
    <w:abstractNumId w:val="30"/>
  </w:num>
  <w:num w:numId="26">
    <w:abstractNumId w:val="11"/>
  </w:num>
  <w:num w:numId="27">
    <w:abstractNumId w:val="33"/>
  </w:num>
  <w:num w:numId="28">
    <w:abstractNumId w:val="5"/>
  </w:num>
  <w:num w:numId="29">
    <w:abstractNumId w:val="10"/>
  </w:num>
  <w:num w:numId="30">
    <w:abstractNumId w:val="3"/>
  </w:num>
  <w:num w:numId="31">
    <w:abstractNumId w:val="12"/>
  </w:num>
  <w:num w:numId="32">
    <w:abstractNumId w:val="8"/>
  </w:num>
  <w:num w:numId="33">
    <w:abstractNumId w:val="24"/>
  </w:num>
  <w:num w:numId="34">
    <w:abstractNumId w:val="22"/>
  </w:num>
  <w:num w:numId="35">
    <w:abstractNumId w:val="6"/>
  </w:num>
  <w:num w:numId="36">
    <w:abstractNumId w:val="14"/>
  </w:num>
  <w:num w:numId="37">
    <w:abstractNumId w:val="1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5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5" w:default="1">
    <w:name w:val="Normal"/>
    <w:qFormat/>
  </w:style>
  <w:style w:type="paragraph" w:styleId="756">
    <w:name w:val="Heading 1"/>
    <w:basedOn w:val="755"/>
    <w:next w:val="755"/>
    <w:link w:val="987"/>
    <w:pPr>
      <w:jc w:val="center"/>
      <w:spacing w:before="108" w:after="108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757">
    <w:name w:val="Heading 2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55"/>
    <w:next w:val="755"/>
    <w:link w:val="9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759">
    <w:name w:val="Heading 4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2">
    <w:name w:val="Heading 7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63">
    <w:name w:val="Heading 8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64">
    <w:name w:val="Heading 9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</w:style>
  <w:style w:type="table" w:styleId="7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7" w:default="1">
    <w:name w:val="No List"/>
    <w:uiPriority w:val="99"/>
    <w:semiHidden/>
    <w:unhideWhenUsed/>
  </w:style>
  <w:style w:type="table" w:styleId="768">
    <w:name w:val="Plain Table 1"/>
    <w:basedOn w:val="7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6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6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7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6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5 Dark"/>
    <w:basedOn w:val="7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>
    <w:name w:val="Grid Table 7 Colorful"/>
    <w:basedOn w:val="76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>
    <w:name w:val="List Table 1 Light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76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7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7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>
    <w:name w:val="List Table 6 Colorful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6">
    <w:name w:val="List Table 7 Colorful"/>
    <w:basedOn w:val="76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787">
    <w:name w:val="table of figures"/>
    <w:basedOn w:val="755"/>
    <w:next w:val="755"/>
    <w:uiPriority w:val="99"/>
    <w:unhideWhenUsed/>
  </w:style>
  <w:style w:type="character" w:styleId="788" w:customStyle="1">
    <w:name w:val="Heading 2 Char"/>
    <w:basedOn w:val="765"/>
    <w:uiPriority w:val="9"/>
    <w:rPr>
      <w:rFonts w:ascii="Arial" w:hAnsi="Arial" w:eastAsia="Arial" w:cs="Arial"/>
      <w:sz w:val="34"/>
    </w:rPr>
  </w:style>
  <w:style w:type="character" w:styleId="789" w:customStyle="1">
    <w:name w:val="Heading 4 Char"/>
    <w:basedOn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Heading 5 Char"/>
    <w:basedOn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Heading 6 Char"/>
    <w:basedOn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7 Char"/>
    <w:basedOn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Heading 8 Char"/>
    <w:basedOn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Heading 9 Char"/>
    <w:basedOn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Title Char"/>
    <w:basedOn w:val="765"/>
    <w:uiPriority w:val="10"/>
    <w:rPr>
      <w:sz w:val="48"/>
      <w:szCs w:val="48"/>
    </w:rPr>
  </w:style>
  <w:style w:type="character" w:styleId="796" w:customStyle="1">
    <w:name w:val="Subtitle Char"/>
    <w:basedOn w:val="765"/>
    <w:uiPriority w:val="11"/>
    <w:rPr>
      <w:sz w:val="24"/>
      <w:szCs w:val="24"/>
    </w:rPr>
  </w:style>
  <w:style w:type="character" w:styleId="797" w:customStyle="1">
    <w:name w:val="Quote Char"/>
    <w:uiPriority w:val="29"/>
    <w:rPr>
      <w:i/>
    </w:rPr>
  </w:style>
  <w:style w:type="character" w:styleId="798" w:customStyle="1">
    <w:name w:val="Intense Quote Char"/>
    <w:uiPriority w:val="30"/>
    <w:rPr>
      <w:i/>
    </w:rPr>
  </w:style>
  <w:style w:type="table" w:styleId="799" w:customStyle="1">
    <w:name w:val="Таблица простая 11"/>
    <w:basedOn w:val="76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 w:customStyle="1">
    <w:name w:val="Таблица простая 21"/>
    <w:basedOn w:val="76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Таблица простая 31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 w:customStyle="1">
    <w:name w:val="Таблица простая 41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Таблица простая 51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1 светлая1"/>
    <w:basedOn w:val="76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basedOn w:val="7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31"/>
    <w:basedOn w:val="76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41"/>
    <w:basedOn w:val="76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Таблица-сетка 5 темная1"/>
    <w:basedOn w:val="76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Таблица-сетка 6 цветная1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Таблица-сетка 7 цветная1"/>
    <w:basedOn w:val="76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21"/>
    <w:basedOn w:val="76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Список-таблица 31"/>
    <w:basedOn w:val="7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41"/>
    <w:basedOn w:val="76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Список-таблица 5 темная1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Список-таблица 6 цветная1"/>
    <w:basedOn w:val="76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Список-таблица 7 цветная1"/>
    <w:basedOn w:val="76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18" w:customStyle="1">
    <w:name w:val="Footnote Text Char"/>
    <w:uiPriority w:val="99"/>
    <w:rPr>
      <w:sz w:val="18"/>
    </w:rPr>
  </w:style>
  <w:style w:type="character" w:styleId="8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Заголовок 2 Знак"/>
    <w:link w:val="757"/>
    <w:uiPriority w:val="9"/>
    <w:rPr>
      <w:rFonts w:ascii="Arial" w:hAnsi="Arial" w:eastAsia="Arial" w:cs="Arial"/>
      <w:sz w:val="34"/>
    </w:rPr>
  </w:style>
  <w:style w:type="character" w:styleId="82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755"/>
    <w:uiPriority w:val="34"/>
    <w:pPr>
      <w:contextualSpacing/>
      <w:ind w:left="720"/>
    </w:pPr>
    <w:rPr>
      <w:szCs w:val="20"/>
    </w:rPr>
  </w:style>
  <w:style w:type="paragraph" w:styleId="829">
    <w:name w:val="No Spacing"/>
    <w:uiPriority w:val="1"/>
    <w:qFormat/>
  </w:style>
  <w:style w:type="paragraph" w:styleId="830">
    <w:name w:val="Title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 w:customStyle="1">
    <w:name w:val="Название Знак"/>
    <w:link w:val="830"/>
    <w:uiPriority w:val="10"/>
    <w:rPr>
      <w:sz w:val="48"/>
      <w:szCs w:val="48"/>
    </w:rPr>
  </w:style>
  <w:style w:type="paragraph" w:styleId="832">
    <w:name w:val="Subtitle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 w:customStyle="1">
    <w:name w:val="Подзаголовок Знак"/>
    <w:link w:val="832"/>
    <w:uiPriority w:val="11"/>
    <w:rPr>
      <w:sz w:val="24"/>
      <w:szCs w:val="24"/>
    </w:rPr>
  </w:style>
  <w:style w:type="paragraph" w:styleId="834">
    <w:name w:val="Quote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paragraph" w:styleId="838">
    <w:name w:val="Header"/>
    <w:basedOn w:val="755"/>
    <w:link w:val="995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39" w:customStyle="1">
    <w:name w:val="Header Char"/>
    <w:uiPriority w:val="99"/>
  </w:style>
  <w:style w:type="paragraph" w:styleId="840">
    <w:name w:val="Footer"/>
    <w:basedOn w:val="755"/>
    <w:link w:val="1001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1" w:customStyle="1">
    <w:name w:val="Footer Char"/>
    <w:uiPriority w:val="99"/>
  </w:style>
  <w:style w:type="paragraph" w:styleId="842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3" w:customStyle="1">
    <w:name w:val="Caption Char"/>
    <w:uiPriority w:val="99"/>
  </w:style>
  <w:style w:type="table" w:styleId="844">
    <w:name w:val="Table Grid"/>
    <w:basedOn w:val="766"/>
    <w:pPr>
      <w:widowControl w:val="off"/>
    </w:pPr>
    <w:rPr>
      <w:lang w:eastAsia="ru-RU" w:bidi="ar-SA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8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50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51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52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53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54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55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56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57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58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59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60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61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62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6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0">
    <w:name w:val="Hyperlink"/>
    <w:rPr>
      <w:color w:val="0000ff"/>
      <w:u w:val="single"/>
    </w:rPr>
  </w:style>
  <w:style w:type="paragraph" w:styleId="971">
    <w:name w:val="footnote text"/>
    <w:link w:val="972"/>
    <w:uiPriority w:val="99"/>
    <w:semiHidden/>
    <w:unhideWhenUsed/>
    <w:pPr>
      <w:spacing w:after="40"/>
    </w:pPr>
    <w:rPr>
      <w:sz w:val="18"/>
    </w:rPr>
  </w:style>
  <w:style w:type="character" w:styleId="972" w:customStyle="1">
    <w:name w:val="Текст сноски Знак"/>
    <w:link w:val="971"/>
    <w:uiPriority w:val="99"/>
    <w:rPr>
      <w:sz w:val="18"/>
    </w:rPr>
  </w:style>
  <w:style w:type="character" w:styleId="973">
    <w:name w:val="footnote reference"/>
    <w:uiPriority w:val="99"/>
    <w:unhideWhenUsed/>
    <w:rPr>
      <w:vertAlign w:val="superscript"/>
    </w:rPr>
  </w:style>
  <w:style w:type="paragraph" w:styleId="974">
    <w:name w:val="endnote text"/>
    <w:basedOn w:val="755"/>
    <w:link w:val="1002"/>
    <w:semiHidden/>
    <w:rPr>
      <w:szCs w:val="20"/>
      <w:lang w:val="en-US"/>
    </w:rPr>
  </w:style>
  <w:style w:type="character" w:styleId="975" w:customStyle="1">
    <w:name w:val="Endnote Text Char"/>
    <w:uiPriority w:val="99"/>
    <w:rPr>
      <w:sz w:val="20"/>
    </w:rPr>
  </w:style>
  <w:style w:type="character" w:styleId="976">
    <w:name w:val="endnote reference"/>
    <w:semiHidden/>
    <w:rPr>
      <w:vertAlign w:val="superscript"/>
    </w:rPr>
  </w:style>
  <w:style w:type="paragraph" w:styleId="977">
    <w:name w:val="toc 1"/>
    <w:uiPriority w:val="39"/>
    <w:unhideWhenUsed/>
    <w:pPr>
      <w:spacing w:after="57"/>
    </w:pPr>
  </w:style>
  <w:style w:type="paragraph" w:styleId="978">
    <w:name w:val="toc 2"/>
    <w:uiPriority w:val="39"/>
    <w:unhideWhenUsed/>
    <w:pPr>
      <w:ind w:left="283"/>
      <w:spacing w:after="57"/>
    </w:pPr>
  </w:style>
  <w:style w:type="paragraph" w:styleId="979">
    <w:name w:val="toc 3"/>
    <w:uiPriority w:val="39"/>
    <w:unhideWhenUsed/>
    <w:pPr>
      <w:ind w:left="567"/>
      <w:spacing w:after="57"/>
    </w:pPr>
  </w:style>
  <w:style w:type="paragraph" w:styleId="980">
    <w:name w:val="toc 4"/>
    <w:uiPriority w:val="39"/>
    <w:unhideWhenUsed/>
    <w:pPr>
      <w:ind w:left="850"/>
      <w:spacing w:after="57"/>
    </w:pPr>
  </w:style>
  <w:style w:type="paragraph" w:styleId="981">
    <w:name w:val="toc 5"/>
    <w:uiPriority w:val="39"/>
    <w:unhideWhenUsed/>
    <w:pPr>
      <w:ind w:left="1134"/>
      <w:spacing w:after="57"/>
    </w:pPr>
  </w:style>
  <w:style w:type="paragraph" w:styleId="982">
    <w:name w:val="toc 6"/>
    <w:uiPriority w:val="39"/>
    <w:unhideWhenUsed/>
    <w:pPr>
      <w:ind w:left="1417"/>
      <w:spacing w:after="57"/>
    </w:pPr>
  </w:style>
  <w:style w:type="paragraph" w:styleId="983">
    <w:name w:val="toc 7"/>
    <w:uiPriority w:val="39"/>
    <w:unhideWhenUsed/>
    <w:pPr>
      <w:ind w:left="1701"/>
      <w:spacing w:after="57"/>
    </w:pPr>
  </w:style>
  <w:style w:type="paragraph" w:styleId="984">
    <w:name w:val="toc 8"/>
    <w:uiPriority w:val="39"/>
    <w:unhideWhenUsed/>
    <w:pPr>
      <w:ind w:left="1984"/>
      <w:spacing w:after="57"/>
    </w:pPr>
  </w:style>
  <w:style w:type="paragraph" w:styleId="985">
    <w:name w:val="toc 9"/>
    <w:uiPriority w:val="39"/>
    <w:unhideWhenUsed/>
    <w:pPr>
      <w:ind w:left="2268"/>
      <w:spacing w:after="57"/>
    </w:pPr>
  </w:style>
  <w:style w:type="paragraph" w:styleId="986">
    <w:name w:val="TOC Heading"/>
    <w:uiPriority w:val="39"/>
    <w:unhideWhenUsed/>
  </w:style>
  <w:style w:type="character" w:styleId="987" w:customStyle="1">
    <w:name w:val="Заголовок 1 Знак"/>
    <w:link w:val="756"/>
    <w:rPr>
      <w:rFonts w:ascii="Cambria" w:hAnsi="Cambria"/>
      <w:b/>
      <w:bCs/>
      <w:sz w:val="32"/>
      <w:szCs w:val="32"/>
    </w:rPr>
  </w:style>
  <w:style w:type="character" w:styleId="988" w:customStyle="1">
    <w:name w:val="Заголовок 3 Знак"/>
    <w:link w:val="758"/>
    <w:semiHidden/>
    <w:rPr>
      <w:rFonts w:ascii="Cambria" w:hAnsi="Cambria"/>
      <w:b/>
      <w:bCs/>
      <w:sz w:val="26"/>
      <w:szCs w:val="26"/>
    </w:rPr>
  </w:style>
  <w:style w:type="paragraph" w:styleId="989" w:customStyle="1">
    <w:name w:val="ConsPlusNormal"/>
    <w:pPr>
      <w:ind w:firstLine="720"/>
      <w:widowControl w:val="off"/>
    </w:pPr>
    <w:rPr>
      <w:rFonts w:ascii="Arial" w:hAnsi="Arial"/>
      <w:lang w:eastAsia="ru-RU" w:bidi="ar-SA"/>
    </w:rPr>
  </w:style>
  <w:style w:type="character" w:styleId="990" w:customStyle="1">
    <w:name w:val="Цветовое выделение"/>
    <w:rPr>
      <w:b/>
      <w:color w:val="000080"/>
    </w:rPr>
  </w:style>
  <w:style w:type="character" w:styleId="991" w:customStyle="1">
    <w:name w:val="Гипертекстовая ссылка"/>
    <w:rPr>
      <w:b/>
      <w:color w:val="008000"/>
    </w:rPr>
  </w:style>
  <w:style w:type="paragraph" w:styleId="992" w:customStyle="1">
    <w:name w:val="Заголовок статьи"/>
    <w:basedOn w:val="755"/>
    <w:next w:val="755"/>
    <w:pPr>
      <w:ind w:left="1612" w:hanging="892"/>
      <w:jc w:val="both"/>
      <w:widowControl w:val="off"/>
    </w:pPr>
    <w:rPr>
      <w:rFonts w:ascii="Arial" w:hAnsi="Arial"/>
    </w:rPr>
  </w:style>
  <w:style w:type="paragraph" w:styleId="993" w:customStyle="1">
    <w:name w:val="Стиль абзаца - основа"/>
    <w:basedOn w:val="755"/>
    <w:link w:val="994"/>
    <w:pPr>
      <w:ind w:firstLine="539"/>
      <w:jc w:val="both"/>
      <w:tabs>
        <w:tab w:val="left" w:pos="912" w:leader="none"/>
      </w:tabs>
    </w:pPr>
    <w:rPr>
      <w:szCs w:val="20"/>
    </w:rPr>
  </w:style>
  <w:style w:type="character" w:styleId="994" w:customStyle="1">
    <w:name w:val="Стиль абзаца - основа Знак"/>
    <w:link w:val="993"/>
    <w:rPr>
      <w:sz w:val="24"/>
      <w:lang w:val="ru-RU" w:eastAsia="ru-RU"/>
    </w:rPr>
  </w:style>
  <w:style w:type="character" w:styleId="995" w:customStyle="1">
    <w:name w:val="Верхний колонтитул Знак"/>
    <w:link w:val="838"/>
    <w:semiHidden/>
    <w:rPr>
      <w:sz w:val="24"/>
      <w:szCs w:val="24"/>
    </w:rPr>
  </w:style>
  <w:style w:type="character" w:styleId="996">
    <w:name w:val="page number"/>
  </w:style>
  <w:style w:type="paragraph" w:styleId="997">
    <w:name w:val="Balloon Text"/>
    <w:basedOn w:val="755"/>
    <w:link w:val="998"/>
    <w:rPr>
      <w:rFonts w:ascii="Tahoma" w:hAnsi="Tahoma"/>
      <w:sz w:val="16"/>
      <w:szCs w:val="20"/>
      <w:lang w:val="en-US"/>
    </w:rPr>
  </w:style>
  <w:style w:type="character" w:styleId="998" w:customStyle="1">
    <w:name w:val="Текст выноски Знак"/>
    <w:link w:val="997"/>
    <w:rPr>
      <w:rFonts w:ascii="Tahoma" w:hAnsi="Tahoma"/>
      <w:sz w:val="16"/>
    </w:rPr>
  </w:style>
  <w:style w:type="character" w:styleId="999" w:customStyle="1">
    <w:name w:val="Не вступил в силу"/>
    <w:rPr>
      <w:b/>
      <w:color w:val="008080"/>
    </w:rPr>
  </w:style>
  <w:style w:type="paragraph" w:styleId="1000" w:customStyle="1">
    <w:name w:val="Прижатый влево"/>
    <w:basedOn w:val="755"/>
    <w:next w:val="755"/>
    <w:rPr>
      <w:rFonts w:ascii="Arial" w:hAnsi="Arial"/>
    </w:rPr>
  </w:style>
  <w:style w:type="character" w:styleId="1001" w:customStyle="1">
    <w:name w:val="Нижний колонтитул Знак"/>
    <w:link w:val="840"/>
    <w:semiHidden/>
    <w:rPr>
      <w:sz w:val="24"/>
      <w:szCs w:val="24"/>
    </w:rPr>
  </w:style>
  <w:style w:type="character" w:styleId="1002" w:customStyle="1">
    <w:name w:val="Текст концевой сноски Знак"/>
    <w:link w:val="974"/>
    <w:semiHidden/>
  </w:style>
  <w:style w:type="character" w:styleId="1003">
    <w:name w:val="annotation reference"/>
    <w:semiHidden/>
    <w:rPr>
      <w:sz w:val="16"/>
    </w:rPr>
  </w:style>
  <w:style w:type="paragraph" w:styleId="1004">
    <w:name w:val="annotation text"/>
    <w:basedOn w:val="755"/>
    <w:link w:val="1005"/>
    <w:semiHidden/>
    <w:rPr>
      <w:szCs w:val="20"/>
      <w:lang w:val="en-US"/>
    </w:rPr>
  </w:style>
  <w:style w:type="character" w:styleId="1005" w:customStyle="1">
    <w:name w:val="Текст примечания Знак"/>
    <w:link w:val="1004"/>
    <w:semiHidden/>
  </w:style>
  <w:style w:type="paragraph" w:styleId="1006">
    <w:name w:val="annotation subject"/>
    <w:basedOn w:val="1004"/>
    <w:next w:val="1004"/>
    <w:link w:val="1007"/>
    <w:semiHidden/>
    <w:rPr>
      <w:b/>
      <w:bCs/>
    </w:rPr>
  </w:style>
  <w:style w:type="character" w:styleId="1007" w:customStyle="1">
    <w:name w:val="Тема примечания Знак"/>
    <w:link w:val="1006"/>
    <w:semiHidden/>
    <w:rPr>
      <w:b/>
      <w:bCs/>
    </w:rPr>
  </w:style>
  <w:style w:type="character" w:styleId="1008" w:customStyle="1">
    <w:name w:val="pagesindoc"/>
  </w:style>
  <w:style w:type="character" w:styleId="1009" w:customStyle="1">
    <w:name w:val="pagesindoccount information"/>
  </w:style>
  <w:style w:type="paragraph" w:styleId="1010" w:customStyle="1">
    <w:name w:val="formattext topleveltext"/>
    <w:basedOn w:val="755"/>
    <w:pPr>
      <w:spacing w:before="100" w:beforeAutospacing="1" w:after="100" w:afterAutospacing="1"/>
    </w:pPr>
  </w:style>
  <w:style w:type="paragraph" w:styleId="1011">
    <w:name w:val="Normal (Web)"/>
    <w:basedOn w:val="755"/>
    <w:pPr>
      <w:spacing w:before="100" w:beforeAutospacing="1" w:after="100" w:afterAutospacing="1"/>
    </w:pPr>
  </w:style>
  <w:style w:type="character" w:styleId="1012" w:customStyle="1">
    <w:name w:val="Сравнение редакций. Добавленный фрагмент"/>
    <w:rPr>
      <w:color w:val="000000"/>
      <w:shd w:val="clear" w:color="auto" w:fill="c1d7ff"/>
    </w:rPr>
  </w:style>
  <w:style w:type="paragraph" w:styleId="1013" w:customStyle="1">
    <w:name w:val="Комментарий"/>
    <w:basedOn w:val="755"/>
    <w:next w:val="755"/>
    <w:pPr>
      <w:ind w:left="170"/>
      <w:jc w:val="both"/>
      <w:spacing w:before="75"/>
    </w:pPr>
    <w:rPr>
      <w:rFonts w:ascii="Arial" w:hAnsi="Arial"/>
      <w:color w:val="353842"/>
      <w:shd w:val="clear" w:color="auto" w:fill="f0f0f0"/>
    </w:rPr>
  </w:style>
  <w:style w:type="paragraph" w:styleId="1014" w:customStyle="1">
    <w:name w:val="Информация об изменениях документа"/>
    <w:basedOn w:val="1013"/>
    <w:next w:val="755"/>
    <w:rPr>
      <w:i/>
      <w:iCs/>
    </w:rPr>
  </w:style>
  <w:style w:type="character" w:styleId="1015" w:customStyle="1">
    <w:name w:val="Сравнение редакций. Удаленный фрагмент"/>
    <w:rPr>
      <w:color w:val="000000"/>
      <w:shd w:val="clear" w:color="auto" w:fill="c4c413"/>
    </w:rPr>
  </w:style>
  <w:style w:type="character" w:styleId="1016" w:customStyle="1">
    <w:name w:val="blk"/>
    <w:basedOn w:val="765"/>
  </w:style>
  <w:style w:type="paragraph" w:styleId="1017" w:customStyle="1">
    <w:name w:val="Информация о версии"/>
    <w:basedOn w:val="884"/>
    <w:pPr>
      <w:contextualSpacing w:val="0"/>
      <w:ind w:left="170" w:right="0" w:firstLine="0"/>
      <w:jc w:val="both"/>
      <w:keepLines w:val="0"/>
      <w:keepNext w:val="0"/>
      <w:pageBreakBefore w:val="0"/>
      <w:spacing w:before="75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/>
      <w:iCs w:val="0"/>
      <w:caps w:val="0"/>
      <w:smallCaps w:val="0"/>
      <w:strike w:val="0"/>
      <w:vanish w:val="0"/>
      <w:color w:val="353842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8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1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revision>62</cp:revision>
  <dcterms:created xsi:type="dcterms:W3CDTF">2023-02-27T07:04:00Z</dcterms:created>
  <dcterms:modified xsi:type="dcterms:W3CDTF">2024-08-09T05:27:43Z</dcterms:modified>
</cp:coreProperties>
</file>